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557" w:rsidRPr="00286CE0" w:rsidRDefault="00331557" w:rsidP="00331557">
      <w:pPr>
        <w:spacing w:after="0" w:line="360" w:lineRule="auto"/>
        <w:rPr>
          <w:b/>
          <w:lang w:val="en-GB"/>
        </w:rPr>
      </w:pPr>
      <w:r>
        <w:rPr>
          <w:b/>
          <w:lang w:val="en-GB"/>
        </w:rPr>
        <w:t>Additional file 1</w:t>
      </w:r>
    </w:p>
    <w:p w:rsidR="00331557" w:rsidRDefault="00331557" w:rsidP="00331557">
      <w:pPr>
        <w:spacing w:after="0" w:line="360" w:lineRule="auto"/>
        <w:rPr>
          <w:lang w:val="en-GB"/>
        </w:rPr>
      </w:pPr>
    </w:p>
    <w:p w:rsidR="00331557" w:rsidRPr="00EF01AD" w:rsidRDefault="00331557" w:rsidP="00331557">
      <w:pPr>
        <w:spacing w:after="0"/>
        <w:rPr>
          <w:u w:val="single"/>
          <w:lang w:val="en-GB"/>
        </w:rPr>
      </w:pPr>
      <w:r w:rsidRPr="00EF01AD">
        <w:rPr>
          <w:u w:val="single"/>
          <w:lang w:val="en-GB"/>
        </w:rPr>
        <w:t>Imputation of SOFA points:</w:t>
      </w:r>
    </w:p>
    <w:p w:rsidR="00331557" w:rsidRDefault="00331557" w:rsidP="00331557">
      <w:pPr>
        <w:spacing w:after="0"/>
        <w:rPr>
          <w:lang w:val="en-GB"/>
        </w:rPr>
      </w:pPr>
    </w:p>
    <w:p w:rsidR="00331557" w:rsidRDefault="00331557" w:rsidP="00331557">
      <w:pPr>
        <w:spacing w:after="0"/>
        <w:rPr>
          <w:lang w:val="en-GB"/>
        </w:rPr>
      </w:pPr>
      <w:r>
        <w:rPr>
          <w:lang w:val="en-GB"/>
        </w:rPr>
        <w:t xml:space="preserve">All vital signs recorded by the GP at inclusion and in the hospital the first 72 hours after inclusion are used to calculate the SOFA score. For the SOFA points based on laboratory values only measurements in the hospital in the first 72 hours after inclusion are used. </w:t>
      </w:r>
    </w:p>
    <w:p w:rsidR="00331557" w:rsidRDefault="00331557" w:rsidP="00331557">
      <w:pPr>
        <w:spacing w:after="0"/>
        <w:rPr>
          <w:lang w:val="en-GB"/>
        </w:rPr>
      </w:pPr>
      <w:r>
        <w:t>In case blood results needed for the calculation of SOFA points (platelets, creatinine and/or bilirubin) are not available on one or more of the four calendar days in the first 72 hours, no points are given to that part of the SOFA score. The only exception is in case the missing value is between two days on which the blood values are available. In that case the blood result is imputed with the assumption there was a linear trend between the two measured values. For example, if on Day 1 the creatinine is 130 and on Day 3 100, the imputed value for Day 2 is 115 (Day 4 is not imputed). If the creatinine is 130 on Day 1 and 100 on Day 4, a value of 120 is imputed on Day 2 and 110 on Day 3. Only blood results from the hospital within the first 72 hours are used.</w:t>
      </w:r>
    </w:p>
    <w:p w:rsidR="00331557" w:rsidRDefault="00331557" w:rsidP="00331557">
      <w:pPr>
        <w:spacing w:after="0"/>
        <w:rPr>
          <w:lang w:val="en-GB"/>
        </w:rPr>
      </w:pPr>
    </w:p>
    <w:p w:rsidR="00331557" w:rsidRDefault="00331557" w:rsidP="00331557">
      <w:r>
        <w:t>Peripheral oxygen saturation (SpO2) and supplemented oxygen are used to estimate respectively the pO2 and FiO2 for calculation of the pO2/FiO2 ratio. Results from blood gas analyses are (outside the ICU) are not taken into account as the amount of oxygen supplied at the time of blood collection is unknown. For the estimation of the pO2 and FiO2, the following conversion tables are used:</w:t>
      </w:r>
    </w:p>
    <w:p w:rsidR="00331557" w:rsidRDefault="00331557" w:rsidP="00331557"/>
    <w:tbl>
      <w:tblPr>
        <w:tblStyle w:val="Tabelraster"/>
        <w:tblW w:w="0" w:type="auto"/>
        <w:tblLayout w:type="fixed"/>
        <w:tblLook w:val="0000" w:firstRow="0" w:lastRow="0" w:firstColumn="0" w:lastColumn="0" w:noHBand="0" w:noVBand="0"/>
      </w:tblPr>
      <w:tblGrid>
        <w:gridCol w:w="1661"/>
        <w:gridCol w:w="1596"/>
      </w:tblGrid>
      <w:tr w:rsidR="00331557" w:rsidRPr="00661EF4" w:rsidTr="009678E9">
        <w:trPr>
          <w:trHeight w:val="290"/>
        </w:trPr>
        <w:tc>
          <w:tcPr>
            <w:tcW w:w="1661" w:type="dxa"/>
          </w:tcPr>
          <w:p w:rsidR="00331557" w:rsidRPr="00661EF4" w:rsidRDefault="00331557" w:rsidP="009678E9">
            <w:pPr>
              <w:autoSpaceDE w:val="0"/>
              <w:autoSpaceDN w:val="0"/>
              <w:adjustRightInd w:val="0"/>
              <w:rPr>
                <w:rFonts w:ascii="Calibri" w:hAnsi="Calibri" w:cs="Calibri"/>
                <w:b/>
                <w:bCs/>
                <w:color w:val="000000" w:themeColor="text1"/>
                <w:lang w:val="nl-NL"/>
              </w:rPr>
            </w:pPr>
            <w:r w:rsidRPr="00661EF4">
              <w:rPr>
                <w:rFonts w:ascii="Calibri" w:hAnsi="Calibri" w:cs="Calibri"/>
                <w:b/>
                <w:bCs/>
                <w:color w:val="000000" w:themeColor="text1"/>
                <w:lang w:val="nl-NL"/>
              </w:rPr>
              <w:t>SO</w:t>
            </w:r>
            <w:r w:rsidRPr="00F33040">
              <w:rPr>
                <w:rFonts w:ascii="Calibri" w:hAnsi="Calibri" w:cs="Calibri"/>
                <w:b/>
                <w:bCs/>
                <w:color w:val="000000" w:themeColor="text1"/>
                <w:vertAlign w:val="subscript"/>
                <w:lang w:val="nl-NL"/>
              </w:rPr>
              <w:t>2</w:t>
            </w:r>
            <w:r w:rsidRPr="00661EF4">
              <w:rPr>
                <w:rFonts w:ascii="Calibri" w:hAnsi="Calibri" w:cs="Calibri"/>
                <w:b/>
                <w:bCs/>
                <w:color w:val="000000" w:themeColor="text1"/>
                <w:lang w:val="nl-NL"/>
              </w:rPr>
              <w:t xml:space="preserve"> (%)</w:t>
            </w:r>
          </w:p>
        </w:tc>
        <w:tc>
          <w:tcPr>
            <w:tcW w:w="1596" w:type="dxa"/>
          </w:tcPr>
          <w:p w:rsidR="00331557" w:rsidRPr="00661EF4" w:rsidRDefault="00331557" w:rsidP="009678E9">
            <w:pPr>
              <w:autoSpaceDE w:val="0"/>
              <w:autoSpaceDN w:val="0"/>
              <w:adjustRightInd w:val="0"/>
              <w:rPr>
                <w:rFonts w:ascii="Calibri" w:hAnsi="Calibri" w:cs="Calibri"/>
                <w:b/>
                <w:bCs/>
                <w:color w:val="000000" w:themeColor="text1"/>
                <w:lang w:val="nl-NL"/>
              </w:rPr>
            </w:pPr>
            <w:r w:rsidRPr="00661EF4">
              <w:rPr>
                <w:rFonts w:ascii="Calibri" w:hAnsi="Calibri" w:cs="Calibri"/>
                <w:b/>
                <w:bCs/>
                <w:color w:val="000000" w:themeColor="text1"/>
                <w:lang w:val="nl-NL"/>
              </w:rPr>
              <w:t>PaO</w:t>
            </w:r>
            <w:r w:rsidRPr="00F33040">
              <w:rPr>
                <w:rFonts w:ascii="Calibri" w:hAnsi="Calibri" w:cs="Calibri"/>
                <w:b/>
                <w:bCs/>
                <w:color w:val="000000" w:themeColor="text1"/>
                <w:vertAlign w:val="subscript"/>
                <w:lang w:val="nl-NL"/>
              </w:rPr>
              <w:t>2</w:t>
            </w:r>
            <w:r w:rsidRPr="00661EF4">
              <w:rPr>
                <w:rFonts w:ascii="Calibri" w:hAnsi="Calibri" w:cs="Calibri"/>
                <w:b/>
                <w:bCs/>
                <w:color w:val="000000" w:themeColor="text1"/>
                <w:lang w:val="nl-NL"/>
              </w:rPr>
              <w:t xml:space="preserve"> (</w:t>
            </w:r>
            <w:proofErr w:type="spellStart"/>
            <w:r w:rsidRPr="00661EF4">
              <w:rPr>
                <w:rFonts w:ascii="Calibri" w:hAnsi="Calibri" w:cs="Calibri"/>
                <w:b/>
                <w:bCs/>
                <w:color w:val="000000" w:themeColor="text1"/>
                <w:lang w:val="nl-NL"/>
              </w:rPr>
              <w:t>mmHg</w:t>
            </w:r>
            <w:proofErr w:type="spellEnd"/>
            <w:r w:rsidRPr="00661EF4">
              <w:rPr>
                <w:rFonts w:ascii="Calibri" w:hAnsi="Calibri" w:cs="Calibri"/>
                <w:b/>
                <w:bCs/>
                <w:color w:val="000000" w:themeColor="text1"/>
                <w:lang w:val="nl-NL"/>
              </w:rPr>
              <w:t>)</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≤80</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44</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81</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45</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82</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46</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83</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47</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84</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49</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85</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50</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86</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52</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87</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53</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88</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55</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89</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57</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90</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60</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91</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62</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92</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65</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93</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69</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lastRenderedPageBreak/>
              <w:t>94</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73</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95</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79</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96</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86</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97</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96</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98</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112</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99</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145</w:t>
            </w:r>
          </w:p>
        </w:tc>
      </w:tr>
      <w:tr w:rsidR="00331557" w:rsidRPr="00661EF4" w:rsidTr="009678E9">
        <w:trPr>
          <w:trHeight w:val="290"/>
        </w:trPr>
        <w:tc>
          <w:tcPr>
            <w:tcW w:w="1661"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100</w:t>
            </w:r>
          </w:p>
        </w:tc>
        <w:tc>
          <w:tcPr>
            <w:tcW w:w="1596" w:type="dxa"/>
          </w:tcPr>
          <w:p w:rsidR="00331557" w:rsidRPr="00661EF4" w:rsidRDefault="00331557" w:rsidP="009678E9">
            <w:pPr>
              <w:autoSpaceDE w:val="0"/>
              <w:autoSpaceDN w:val="0"/>
              <w:adjustRightInd w:val="0"/>
              <w:jc w:val="right"/>
              <w:rPr>
                <w:rFonts w:ascii="Calibri" w:hAnsi="Calibri" w:cs="Calibri"/>
                <w:b/>
                <w:bCs/>
                <w:color w:val="000000" w:themeColor="text1"/>
                <w:lang w:val="nl-NL"/>
              </w:rPr>
            </w:pPr>
            <w:r w:rsidRPr="00661EF4">
              <w:rPr>
                <w:rFonts w:ascii="Calibri" w:hAnsi="Calibri" w:cs="Calibri"/>
                <w:b/>
                <w:bCs/>
                <w:color w:val="000000" w:themeColor="text1"/>
                <w:lang w:val="nl-NL"/>
              </w:rPr>
              <w:t>200</w:t>
            </w:r>
          </w:p>
        </w:tc>
      </w:tr>
    </w:tbl>
    <w:p w:rsidR="00331557" w:rsidRDefault="00331557" w:rsidP="00331557"/>
    <w:tbl>
      <w:tblPr>
        <w:tblStyle w:val="Tabelraster"/>
        <w:tblW w:w="0" w:type="auto"/>
        <w:tblLayout w:type="fixed"/>
        <w:tblLook w:val="0000" w:firstRow="0" w:lastRow="0" w:firstColumn="0" w:lastColumn="0" w:noHBand="0" w:noVBand="0"/>
      </w:tblPr>
      <w:tblGrid>
        <w:gridCol w:w="1661"/>
        <w:gridCol w:w="1596"/>
      </w:tblGrid>
      <w:tr w:rsidR="00331557" w:rsidRPr="003C4047" w:rsidTr="009678E9">
        <w:trPr>
          <w:trHeight w:val="290"/>
        </w:trPr>
        <w:tc>
          <w:tcPr>
            <w:tcW w:w="1661" w:type="dxa"/>
          </w:tcPr>
          <w:p w:rsidR="00331557" w:rsidRPr="003C4047" w:rsidRDefault="00331557" w:rsidP="009678E9">
            <w:pPr>
              <w:autoSpaceDE w:val="0"/>
              <w:autoSpaceDN w:val="0"/>
              <w:adjustRightInd w:val="0"/>
              <w:rPr>
                <w:rFonts w:ascii="Calibri" w:hAnsi="Calibri" w:cs="Calibri"/>
                <w:b/>
                <w:bCs/>
                <w:lang w:val="nl-NL"/>
              </w:rPr>
            </w:pPr>
            <w:r w:rsidRPr="003C4047">
              <w:rPr>
                <w:rFonts w:ascii="Calibri" w:hAnsi="Calibri" w:cs="Calibri"/>
                <w:b/>
                <w:bCs/>
                <w:lang w:val="nl-NL"/>
              </w:rPr>
              <w:t>O</w:t>
            </w:r>
            <w:r w:rsidRPr="003C4047">
              <w:rPr>
                <w:rFonts w:ascii="Calibri" w:hAnsi="Calibri" w:cs="Calibri"/>
                <w:b/>
                <w:bCs/>
                <w:vertAlign w:val="subscript"/>
                <w:lang w:val="nl-NL"/>
              </w:rPr>
              <w:t>2</w:t>
            </w:r>
            <w:r w:rsidRPr="003C4047">
              <w:rPr>
                <w:rFonts w:ascii="Calibri" w:hAnsi="Calibri" w:cs="Calibri"/>
                <w:b/>
                <w:bCs/>
                <w:lang w:val="nl-NL"/>
              </w:rPr>
              <w:t xml:space="preserve"> flow (l/min)</w:t>
            </w:r>
          </w:p>
        </w:tc>
        <w:tc>
          <w:tcPr>
            <w:tcW w:w="1596" w:type="dxa"/>
          </w:tcPr>
          <w:p w:rsidR="00331557" w:rsidRPr="003C4047" w:rsidRDefault="00331557" w:rsidP="009678E9">
            <w:pPr>
              <w:autoSpaceDE w:val="0"/>
              <w:autoSpaceDN w:val="0"/>
              <w:adjustRightInd w:val="0"/>
              <w:rPr>
                <w:rFonts w:ascii="Calibri" w:hAnsi="Calibri" w:cs="Calibri"/>
                <w:b/>
                <w:bCs/>
                <w:lang w:val="nl-NL"/>
              </w:rPr>
            </w:pPr>
            <w:r w:rsidRPr="003C4047">
              <w:rPr>
                <w:rFonts w:ascii="Calibri" w:hAnsi="Calibri" w:cs="Calibri"/>
                <w:b/>
                <w:bCs/>
                <w:lang w:val="nl-NL"/>
              </w:rPr>
              <w:t>FiO</w:t>
            </w:r>
            <w:r w:rsidRPr="003C4047">
              <w:rPr>
                <w:rFonts w:ascii="Calibri" w:hAnsi="Calibri" w:cs="Calibri"/>
                <w:b/>
                <w:bCs/>
                <w:vertAlign w:val="subscript"/>
                <w:lang w:val="nl-NL"/>
              </w:rPr>
              <w:t>2</w:t>
            </w:r>
            <w:r w:rsidRPr="003C4047">
              <w:rPr>
                <w:rFonts w:ascii="Calibri" w:hAnsi="Calibri" w:cs="Calibri"/>
                <w:b/>
                <w:bCs/>
                <w:lang w:val="nl-NL"/>
              </w:rPr>
              <w:t xml:space="preserve"> (%)</w:t>
            </w:r>
          </w:p>
        </w:tc>
      </w:tr>
      <w:tr w:rsidR="00331557" w:rsidRPr="003C4047" w:rsidTr="009678E9">
        <w:trPr>
          <w:trHeight w:val="290"/>
        </w:trPr>
        <w:tc>
          <w:tcPr>
            <w:tcW w:w="1661"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0</w:t>
            </w:r>
          </w:p>
        </w:tc>
        <w:tc>
          <w:tcPr>
            <w:tcW w:w="1596"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21</w:t>
            </w:r>
          </w:p>
        </w:tc>
      </w:tr>
      <w:tr w:rsidR="00331557" w:rsidRPr="003C4047" w:rsidTr="009678E9">
        <w:trPr>
          <w:trHeight w:val="290"/>
        </w:trPr>
        <w:tc>
          <w:tcPr>
            <w:tcW w:w="1661"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1</w:t>
            </w:r>
          </w:p>
        </w:tc>
        <w:tc>
          <w:tcPr>
            <w:tcW w:w="1596"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24</w:t>
            </w:r>
          </w:p>
        </w:tc>
      </w:tr>
      <w:tr w:rsidR="00331557" w:rsidRPr="003C4047" w:rsidTr="009678E9">
        <w:trPr>
          <w:trHeight w:val="290"/>
        </w:trPr>
        <w:tc>
          <w:tcPr>
            <w:tcW w:w="1661"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2</w:t>
            </w:r>
          </w:p>
        </w:tc>
        <w:tc>
          <w:tcPr>
            <w:tcW w:w="1596"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28</w:t>
            </w:r>
          </w:p>
        </w:tc>
      </w:tr>
      <w:tr w:rsidR="00331557" w:rsidRPr="003C4047" w:rsidTr="009678E9">
        <w:trPr>
          <w:trHeight w:val="290"/>
        </w:trPr>
        <w:tc>
          <w:tcPr>
            <w:tcW w:w="1661"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3</w:t>
            </w:r>
          </w:p>
        </w:tc>
        <w:tc>
          <w:tcPr>
            <w:tcW w:w="1596"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32</w:t>
            </w:r>
          </w:p>
        </w:tc>
      </w:tr>
      <w:tr w:rsidR="00331557" w:rsidRPr="003C4047" w:rsidTr="009678E9">
        <w:trPr>
          <w:trHeight w:val="290"/>
        </w:trPr>
        <w:tc>
          <w:tcPr>
            <w:tcW w:w="1661"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4</w:t>
            </w:r>
          </w:p>
        </w:tc>
        <w:tc>
          <w:tcPr>
            <w:tcW w:w="1596"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36</w:t>
            </w:r>
          </w:p>
        </w:tc>
      </w:tr>
      <w:tr w:rsidR="00331557" w:rsidRPr="003C4047" w:rsidTr="009678E9">
        <w:trPr>
          <w:trHeight w:val="290"/>
        </w:trPr>
        <w:tc>
          <w:tcPr>
            <w:tcW w:w="1661"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5</w:t>
            </w:r>
          </w:p>
        </w:tc>
        <w:tc>
          <w:tcPr>
            <w:tcW w:w="1596"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40</w:t>
            </w:r>
          </w:p>
        </w:tc>
      </w:tr>
      <w:tr w:rsidR="00331557" w:rsidRPr="003C4047" w:rsidTr="009678E9">
        <w:trPr>
          <w:trHeight w:val="290"/>
        </w:trPr>
        <w:tc>
          <w:tcPr>
            <w:tcW w:w="1661"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≥6</w:t>
            </w:r>
          </w:p>
        </w:tc>
        <w:tc>
          <w:tcPr>
            <w:tcW w:w="1596" w:type="dxa"/>
          </w:tcPr>
          <w:p w:rsidR="00331557" w:rsidRPr="003C4047" w:rsidRDefault="00331557" w:rsidP="009678E9">
            <w:pPr>
              <w:autoSpaceDE w:val="0"/>
              <w:autoSpaceDN w:val="0"/>
              <w:adjustRightInd w:val="0"/>
              <w:jc w:val="right"/>
              <w:rPr>
                <w:rFonts w:ascii="Calibri" w:hAnsi="Calibri" w:cs="Calibri"/>
                <w:b/>
                <w:bCs/>
                <w:lang w:val="nl-NL"/>
              </w:rPr>
            </w:pPr>
            <w:r w:rsidRPr="003C4047">
              <w:rPr>
                <w:rFonts w:ascii="Calibri" w:hAnsi="Calibri" w:cs="Calibri"/>
                <w:b/>
                <w:bCs/>
                <w:lang w:val="nl-NL"/>
              </w:rPr>
              <w:t>44</w:t>
            </w:r>
          </w:p>
        </w:tc>
      </w:tr>
    </w:tbl>
    <w:p w:rsidR="00331557" w:rsidRDefault="00331557" w:rsidP="00331557"/>
    <w:p w:rsidR="00331557" w:rsidRDefault="00331557" w:rsidP="00331557">
      <w:r>
        <w:t>Mean arterial blood pressure (MAP) is calculated using the formula: (2 x diastolic blood pressure + systolic blood pressure)/3.</w:t>
      </w:r>
    </w:p>
    <w:p w:rsidR="00331557" w:rsidRDefault="00331557" w:rsidP="00331557">
      <w:r>
        <w:t>The AVPU scale (</w:t>
      </w:r>
      <w:r>
        <w:rPr>
          <w:rStyle w:val="e24kjd"/>
          <w:rFonts w:ascii="Arial" w:hAnsi="Arial" w:cs="Arial"/>
          <w:color w:val="222222"/>
          <w:sz w:val="21"/>
          <w:szCs w:val="21"/>
        </w:rPr>
        <w:t xml:space="preserve">an acronym for "alert, verbal, pain, unresponsive") is used to impute the Glasgow Coma Score. For “A” a score of 15 is imputed, for “V” a score of 12, for “P” a score of 8 and for “U” a Glasgow Coma Score of 3. In case the AVPU scale is extended with “D” for “delirium”, a score of 14 is imputed. </w:t>
      </w:r>
    </w:p>
    <w:p w:rsidR="00331557" w:rsidRDefault="00331557" w:rsidP="00331557">
      <w:pPr>
        <w:spacing w:after="0"/>
        <w:rPr>
          <w:lang w:val="en-GB"/>
        </w:rPr>
      </w:pPr>
      <w:r>
        <w:rPr>
          <w:lang w:val="en-GB"/>
        </w:rPr>
        <w:t xml:space="preserve">In case patients were admitted in the ICU on a specific day within 72 hours of inclusion, SOFA points are adopted from the electronic medical records from the ICU. </w:t>
      </w:r>
    </w:p>
    <w:p w:rsidR="000D0A08" w:rsidRPr="00331557" w:rsidRDefault="000D0A08">
      <w:pPr>
        <w:rPr>
          <w:lang w:val="en-GB"/>
        </w:rPr>
      </w:pPr>
      <w:bookmarkStart w:id="0" w:name="_GoBack"/>
      <w:bookmarkEnd w:id="0"/>
    </w:p>
    <w:sectPr w:rsidR="000D0A08" w:rsidRPr="003315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557"/>
    <w:rsid w:val="000D0A08"/>
    <w:rsid w:val="003315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egoe UI" w:eastAsiaTheme="minorHAnsi" w:hAnsi="Segoe U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3155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3315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24kjd">
    <w:name w:val="e24kjd"/>
    <w:basedOn w:val="Standaardalinea-lettertype"/>
    <w:rsid w:val="003315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egoe UI" w:eastAsiaTheme="minorHAnsi" w:hAnsi="Segoe U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3155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3315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24kjd">
    <w:name w:val="e24kjd"/>
    <w:basedOn w:val="Standaardalinea-lettertype"/>
    <w:rsid w:val="003315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7FDE5DB</Template>
  <TotalTime>1</TotalTime>
  <Pages>2</Pages>
  <Words>358</Words>
  <Characters>1973</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UMC Utrecht</Company>
  <LinksUpToDate>false</LinksUpToDate>
  <CharactersWithSpaces>2327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Feike Loots</dc:creator>
  <cp:lastModifiedBy>Feike Loots</cp:lastModifiedBy>
  <cp:revision>1</cp:revision>
  <dcterms:created xsi:type="dcterms:W3CDTF">2020-02-17T08:59:00Z</dcterms:created>
  <dcterms:modified xsi:type="dcterms:W3CDTF">2020-02-17T09:00:00Z</dcterms:modified>
</cp:coreProperties>
</file>